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宋体" w:cs="Arial"/>
          <w:b/>
          <w:kern w:val="0"/>
          <w:sz w:val="24"/>
          <w:szCs w:val="24"/>
          <w:lang w:val="en-US" w:eastAsia="en-US"/>
        </w:rPr>
      </w:pPr>
      <w:bookmarkStart w:id="0" w:name="_Hlk101780234"/>
      <w:r>
        <w:rPr>
          <w:rFonts w:hint="default" w:eastAsia="宋体" w:cs="Arial"/>
          <w:b/>
          <w:kern w:val="0"/>
          <w:sz w:val="24"/>
          <w:szCs w:val="24"/>
          <w:lang w:val="en-US" w:eastAsia="zh-CN"/>
        </w:rPr>
        <w:t>3GPP TSG RAN WG</w:t>
      </w:r>
      <w:r>
        <w:rPr>
          <w:rFonts w:hint="eastAsia" w:eastAsia="宋体" w:cs="Arial"/>
          <w:b/>
          <w:kern w:val="0"/>
          <w:sz w:val="24"/>
          <w:szCs w:val="24"/>
          <w:lang w:val="en-US" w:eastAsia="zh-CN"/>
        </w:rPr>
        <w:t>2</w:t>
      </w:r>
      <w:r>
        <w:rPr>
          <w:rFonts w:hint="default" w:eastAsia="宋体" w:cs="Arial"/>
          <w:b/>
          <w:kern w:val="0"/>
          <w:sz w:val="24"/>
          <w:szCs w:val="24"/>
          <w:lang w:val="en-US" w:eastAsia="zh-CN"/>
        </w:rPr>
        <w:t xml:space="preserve"> #1</w:t>
      </w:r>
      <w:r>
        <w:rPr>
          <w:rFonts w:hint="default" w:eastAsia="宋体" w:cs="Arial"/>
          <w:b/>
          <w:kern w:val="0"/>
          <w:sz w:val="24"/>
          <w:szCs w:val="24"/>
          <w:lang w:val="en-US" w:eastAsia="zh-CN"/>
        </w:rPr>
        <w:t>21</w:t>
      </w:r>
      <w:r>
        <w:rPr>
          <w:rFonts w:hint="default"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hint="eastAsia" w:eastAsia="宋体" w:cs="Arial"/>
          <w:b/>
          <w:kern w:val="0"/>
          <w:sz w:val="24"/>
          <w:szCs w:val="24"/>
          <w:lang w:val="en-US" w:eastAsia="zh-CN"/>
        </w:rPr>
        <w:t xml:space="preserve">                         </w:t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 xml:space="preserve"> </w:t>
      </w:r>
      <w:r>
        <w:rPr>
          <w:rFonts w:hint="eastAsia" w:eastAsia="宋体" w:cs="Arial"/>
          <w:b/>
          <w:kern w:val="0"/>
          <w:sz w:val="24"/>
          <w:szCs w:val="24"/>
          <w:lang w:val="en-US" w:eastAsia="en-US"/>
        </w:rPr>
        <w:t>R2-2301063</w:t>
      </w:r>
    </w:p>
    <w:p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4"/>
          <w:szCs w:val="24"/>
        </w:rPr>
      </w:pPr>
      <w:r>
        <w:rPr>
          <w:rFonts w:eastAsia="宋体" w:cs="Arial"/>
          <w:b/>
          <w:kern w:val="0"/>
          <w:sz w:val="24"/>
          <w:szCs w:val="24"/>
          <w:lang w:val="en-US" w:eastAsia="en-US"/>
        </w:rPr>
        <w:t xml:space="preserve">Athens, </w:t>
      </w:r>
      <w:r>
        <w:rPr>
          <w:rFonts w:hint="default" w:eastAsia="宋体" w:cs="Arial"/>
          <w:b/>
          <w:kern w:val="0"/>
          <w:sz w:val="24"/>
          <w:szCs w:val="24"/>
          <w:lang w:val="en-US" w:eastAsia="en-US"/>
        </w:rPr>
        <w:t>Greece, February</w:t>
      </w:r>
      <w:r>
        <w:rPr>
          <w:rFonts w:hint="default" w:eastAsia="宋体" w:cs="Arial"/>
          <w:b/>
          <w:kern w:val="0"/>
          <w:sz w:val="24"/>
          <w:szCs w:val="24"/>
          <w:lang w:val="en-US" w:eastAsia="zh-CN"/>
        </w:rPr>
        <w:t xml:space="preserve"> 27th</w:t>
      </w:r>
      <w:r>
        <w:rPr>
          <w:rFonts w:hint="default" w:eastAsia="宋体" w:cs="Arial"/>
          <w:b/>
          <w:kern w:val="0"/>
          <w:sz w:val="24"/>
          <w:szCs w:val="24"/>
          <w:lang w:val="en-US" w:eastAsia="en-US"/>
        </w:rPr>
        <w:t>-March</w:t>
      </w:r>
      <w:r>
        <w:rPr>
          <w:rFonts w:hint="default" w:eastAsia="宋体" w:cs="Arial"/>
          <w:b/>
          <w:kern w:val="0"/>
          <w:sz w:val="24"/>
          <w:szCs w:val="24"/>
          <w:lang w:val="en-US" w:eastAsia="zh-CN"/>
        </w:rPr>
        <w:t xml:space="preserve"> 3rd</w:t>
      </w:r>
      <w:r>
        <w:rPr>
          <w:rFonts w:hint="default" w:eastAsia="宋体" w:cs="Arial"/>
          <w:b/>
          <w:kern w:val="0"/>
          <w:sz w:val="24"/>
          <w:szCs w:val="24"/>
          <w:lang w:val="en-US" w:eastAsia="en-US"/>
        </w:rPr>
        <w:t>,</w:t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 xml:space="preserve"> 2023</w:t>
      </w:r>
      <w:r>
        <w:rPr>
          <w:rFonts w:eastAsia="宋体" w:cs="Arial"/>
          <w:b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kern w:val="0"/>
          <w:sz w:val="24"/>
          <w:szCs w:val="24"/>
        </w:rPr>
        <w:tab/>
      </w:r>
      <w:r>
        <w:rPr>
          <w:rFonts w:cs="Arial"/>
          <w:b/>
          <w:bCs/>
          <w:kern w:val="0"/>
          <w:sz w:val="24"/>
          <w:szCs w:val="24"/>
        </w:rPr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4"/>
          <w:szCs w:val="24"/>
        </w:rPr>
        <w:t xml:space="preserve">   </w:t>
      </w:r>
    </w:p>
    <w:p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szCs w:val="24"/>
        </w:rPr>
        <w:t>Preventing legacy UEs camping on NES cell</w:t>
      </w:r>
      <w:r>
        <w:rPr>
          <w:rFonts w:cs="Arial"/>
          <w:b/>
          <w:bCs/>
          <w:snapToGrid w:val="0"/>
          <w:kern w:val="0"/>
          <w:sz w:val="24"/>
          <w:szCs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hint="default" w:cs="Arial" w:eastAsiaTheme="minorEastAsia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Agenda item:</w:t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bookmarkStart w:id="1" w:name="Source"/>
      <w:bookmarkEnd w:id="1"/>
      <w:r>
        <w:rPr>
          <w:rFonts w:hint="eastAsia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    8.3.4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Document for:</w:t>
      </w:r>
      <w:bookmarkStart w:id="2" w:name="DocumentFor"/>
      <w:bookmarkEnd w:id="2"/>
      <w:r>
        <w:rPr>
          <w:rFonts w:hint="eastAsia" w:cs="Arial"/>
          <w:b/>
          <w:bCs/>
          <w:snapToGrid w:val="0"/>
          <w:kern w:val="0"/>
          <w:sz w:val="24"/>
          <w:szCs w:val="24"/>
        </w:rPr>
        <w:t xml:space="preserve"> </w:t>
      </w:r>
      <w:r>
        <w:rPr>
          <w:rFonts w:hint="eastAsia"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      </w:t>
      </w:r>
      <w:r>
        <w:rPr>
          <w:rFonts w:cs="Arial"/>
          <w:b/>
          <w:bCs/>
          <w:snapToGrid w:val="0"/>
          <w:kern w:val="0"/>
          <w:sz w:val="24"/>
          <w:szCs w:val="24"/>
        </w:rPr>
        <w:t>Discussion</w:t>
      </w:r>
      <w:r>
        <w:rPr>
          <w:rFonts w:hint="eastAsia" w:cs="Arial"/>
          <w:b/>
          <w:bCs/>
          <w:snapToGrid w:val="0"/>
          <w:kern w:val="0"/>
          <w:sz w:val="24"/>
          <w:szCs w:val="24"/>
        </w:rPr>
        <w:t xml:space="preserve"> and Decision</w:t>
      </w:r>
    </w:p>
    <w:bookmarkEnd w:id="0"/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3" w:name="_Toc18413600"/>
      <w:bookmarkStart w:id="4" w:name="_Toc18404533"/>
      <w:bookmarkStart w:id="5" w:name="_Toc18403966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00" w:lineRule="auto"/>
        <w:textAlignment w:val="auto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During the </w:t>
      </w:r>
      <w:r>
        <w:rPr>
          <w:rFonts w:hint="eastAsia" w:eastAsia="宋体" w:cs="Arial"/>
          <w:color w:val="000000"/>
          <w:sz w:val="21"/>
          <w:lang w:val="en-US" w:eastAsia="zh-CN"/>
        </w:rPr>
        <w:t xml:space="preserve">NES </w:t>
      </w:r>
      <w:r>
        <w:rPr>
          <w:rFonts w:cs="Arial"/>
          <w:color w:val="000000"/>
          <w:sz w:val="21"/>
        </w:rPr>
        <w:t>study item</w:t>
      </w:r>
      <w:r>
        <w:rPr>
          <w:rFonts w:hint="default" w:cs="Arial"/>
          <w:color w:val="000000"/>
          <w:sz w:val="21"/>
          <w:lang w:val="en-US"/>
        </w:rPr>
        <w:t>[1], the possible NES techniques have been discussed, and in the NES WID[2], the following objective has been included</w:t>
      </w:r>
      <w:r>
        <w:rPr>
          <w:rFonts w:hint="eastAsia" w:eastAsia="宋体" w:cs="Arial"/>
          <w:color w:val="000000"/>
          <w:sz w:val="21"/>
          <w:lang w:val="en-US" w:eastAsia="zh-CN"/>
        </w:rPr>
        <w:t>:</w:t>
      </w:r>
      <w:r>
        <w:rPr>
          <w:rFonts w:cs="Arial"/>
          <w:color w:val="000000"/>
          <w:sz w:val="21"/>
        </w:rPr>
        <w:t xml:space="preserve">  </w:t>
      </w:r>
    </w:p>
    <w:p>
      <w:pPr>
        <w:pStyle w:val="53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100" w:afterAutospacing="0" w:line="300" w:lineRule="auto"/>
        <w:ind w:left="420" w:leftChars="0" w:hanging="420" w:firstLineChars="0"/>
        <w:textAlignment w:val="auto"/>
        <w:rPr>
          <w:rFonts w:cs="Arial"/>
          <w:i/>
          <w:iCs/>
          <w:color w:val="000000"/>
          <w:sz w:val="21"/>
          <w:szCs w:val="21"/>
        </w:rPr>
      </w:pPr>
      <w:r>
        <w:rPr>
          <w:i/>
          <w:iCs/>
          <w:sz w:val="21"/>
          <w:szCs w:val="21"/>
        </w:rPr>
        <w:t>Specify mechanism(s) to prevent legacy UEs camping on cells adopting the Rel-18 NES techniques, if necessary [RAN2</w:t>
      </w:r>
      <w:r>
        <w:rPr>
          <w:bCs/>
        </w:rPr>
        <w:t>]</w:t>
      </w:r>
      <w:r>
        <w:rPr>
          <w:i/>
          <w:iCs/>
          <w:sz w:val="21"/>
          <w:szCs w:val="21"/>
        </w:rPr>
        <w:t xml:space="preserve"> </w:t>
      </w:r>
    </w:p>
    <w:p>
      <w:pPr>
        <w:pStyle w:val="5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00" w:lineRule="auto"/>
        <w:textAlignment w:val="auto"/>
        <w:rPr>
          <w:rFonts w:hint="default" w:eastAsia="宋体" w:cs="Arial"/>
          <w:color w:val="000000"/>
          <w:sz w:val="21"/>
          <w:lang w:val="en-US" w:eastAsia="zh-CN"/>
        </w:rPr>
      </w:pPr>
      <w:r>
        <w:rPr>
          <w:rFonts w:hint="default" w:eastAsia="宋体" w:cs="Arial"/>
          <w:color w:val="000000"/>
          <w:sz w:val="21"/>
          <w:lang w:val="en-US" w:eastAsia="zh-CN"/>
        </w:rPr>
        <w:t xml:space="preserve">In this paper, we will discuss the necessity and feasible solutions to </w:t>
      </w:r>
      <w:r>
        <w:rPr>
          <w:rFonts w:hint="eastAsia" w:eastAsia="宋体" w:cs="Arial"/>
          <w:color w:val="000000"/>
          <w:sz w:val="21"/>
          <w:lang w:val="en-US" w:eastAsia="zh-CN"/>
        </w:rPr>
        <w:t>prevent legacy UEs camping on cells adopting the Rel-18 NES techniques</w:t>
      </w:r>
      <w:r>
        <w:rPr>
          <w:rFonts w:hint="default" w:eastAsia="宋体" w:cs="Arial"/>
          <w:color w:val="000000"/>
          <w:sz w:val="21"/>
          <w:lang w:val="en-US" w:eastAsia="zh-CN"/>
        </w:rPr>
        <w:t>, and give our proposals.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hint="eastAsia" w:cs="Arial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bookmarkStart w:id="6" w:name="OLE_LINK2"/>
      <w:r>
        <w:rPr>
          <w:rFonts w:hint="default" w:ascii="Arial" w:hAnsi="Arial" w:cs="Arial"/>
          <w:sz w:val="20"/>
          <w:szCs w:val="20"/>
          <w:lang w:val="en-US" w:eastAsia="zh-CN"/>
        </w:rPr>
        <w:t xml:space="preserve">Based on the NES </w:t>
      </w:r>
      <w:r>
        <w:rPr>
          <w:rFonts w:hint="default" w:ascii="Arial" w:hAnsi="Arial" w:cs="Arial"/>
          <w:color w:val="000000"/>
          <w:sz w:val="20"/>
          <w:szCs w:val="20"/>
        </w:rPr>
        <w:t>study item</w:t>
      </w:r>
      <w:r>
        <w:rPr>
          <w:rFonts w:hint="default" w:ascii="Arial" w:hAnsi="Arial" w:cs="Arial"/>
          <w:color w:val="000000"/>
          <w:sz w:val="20"/>
          <w:szCs w:val="20"/>
          <w:lang w:val="en-US"/>
        </w:rPr>
        <w:t>[1]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and the NES WID objectives[2] meeting, the following cell specific features will be supported for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NES </w:t>
      </w:r>
      <w:r>
        <w:rPr>
          <w:rFonts w:hint="default" w:ascii="Arial" w:hAnsi="Arial" w:cs="Arial"/>
          <w:sz w:val="20"/>
          <w:szCs w:val="20"/>
          <w:lang w:val="en-US" w:eastAsia="zh-CN"/>
        </w:rPr>
        <w:t>purposes, which may impact on whether to prevent legacy UEs camping on cells adopting the Rel-18 NES techniques:</w:t>
      </w:r>
    </w:p>
    <w:p>
      <w:pPr>
        <w:pStyle w:val="28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" w:lineRule="auto"/>
        <w:ind w:left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</w:p>
    <w:p>
      <w:pPr>
        <w:pStyle w:val="28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260" w:lineRule="auto"/>
        <w:ind w:left="840" w:leftChars="0" w:hanging="420" w:firstLineChars="0"/>
        <w:textAlignment w:val="auto"/>
        <w:rPr>
          <w:rFonts w:hint="default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i/>
          <w:iCs/>
          <w:sz w:val="20"/>
          <w:szCs w:val="20"/>
          <w:lang w:val="en-US" w:eastAsia="zh-CN"/>
        </w:rPr>
        <w:t>Specify SSB-less SCell operation for inter-band CA for FR1 and co-located cells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60" w:lineRule="auto"/>
        <w:ind w:left="840" w:leftChars="0" w:hanging="420" w:firstLineChars="0"/>
        <w:textAlignment w:val="auto"/>
        <w:rPr>
          <w:rFonts w:hint="default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i/>
          <w:iCs/>
          <w:sz w:val="20"/>
          <w:szCs w:val="20"/>
          <w:lang w:val="en-US" w:eastAsia="zh-CN"/>
        </w:rPr>
        <w:t>Specify enhancement on cell DTX/DRX mechanism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60" w:lineRule="auto"/>
        <w:ind w:left="840" w:leftChars="0" w:hanging="420" w:firstLineChars="0"/>
        <w:textAlignment w:val="auto"/>
        <w:rPr>
          <w:rFonts w:hint="default" w:ascii="Arial" w:hAnsi="Arial" w:cs="Arial"/>
          <w:i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i/>
          <w:iCs/>
          <w:sz w:val="20"/>
          <w:szCs w:val="20"/>
          <w:lang w:val="en-US" w:eastAsia="zh-CN"/>
        </w:rPr>
        <w:t>Specify the NES techniques in spatial and power domains, including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469" w:leftChars="0" w:hanging="329"/>
        <w:jc w:val="both"/>
        <w:textAlignment w:val="auto"/>
        <w:rPr>
          <w:rFonts w:hint="default" w:ascii="Arial" w:hAnsi="Arial" w:cs="Arial" w:eastAsiaTheme="minorEastAsia"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469" w:leftChars="0" w:hanging="329"/>
        <w:jc w:val="both"/>
        <w:textAlignment w:val="auto"/>
        <w:rPr>
          <w:rFonts w:hint="default" w:ascii="Arial" w:hAnsi="Arial" w:cs="Arial" w:eastAsiaTheme="minorEastAsia"/>
          <w:bCs/>
          <w:i/>
          <w:iCs/>
          <w:kern w:val="2"/>
          <w:sz w:val="20"/>
          <w:szCs w:val="20"/>
          <w:lang w:val="en-US" w:eastAsia="zh-CN" w:bidi="ar-SA"/>
        </w:rPr>
      </w:pPr>
      <w:r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  <w:t>S</w:t>
      </w:r>
      <w:r>
        <w:rPr>
          <w:rFonts w:hint="default" w:ascii="Arial" w:hAnsi="Arial" w:cs="Arial" w:eastAsiaTheme="minorEastAsia"/>
          <w:bCs/>
          <w:i/>
          <w:iCs/>
          <w:kern w:val="2"/>
          <w:sz w:val="20"/>
          <w:szCs w:val="20"/>
          <w:lang w:val="en-US" w:eastAsia="zh-CN" w:bidi="ar-SA"/>
        </w:rPr>
        <w:t xml:space="preserve">pecify necessary enhancements on CSI related procedures including measurement and report, and signaling to enable efficient adaptation of power offset values between PDSCH and CSI-RS [RAN1, RAN2] </w:t>
      </w:r>
    </w:p>
    <w:p>
      <w:pPr>
        <w:pStyle w:val="28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" w:lineRule="auto"/>
        <w:ind w:left="0"/>
        <w:textAlignment w:val="auto"/>
        <w:rPr>
          <w:rFonts w:hint="default" w:ascii="Arial" w:hAnsi="Arial" w:cs="Arial" w:eastAsiaTheme="minorEastAsia"/>
          <w:bCs/>
          <w:i/>
          <w:iCs/>
          <w:kern w:val="2"/>
          <w:sz w:val="20"/>
          <w:szCs w:val="20"/>
          <w:lang w:val="en-US" w:eastAsia="zh-CN" w:bidi="ar-SA"/>
        </w:rPr>
      </w:pPr>
    </w:p>
    <w:p>
      <w:pPr>
        <w:pStyle w:val="28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Based on the current specification, UE couldn’t search a SSB-less cell, so UE shall not select or re-select a SSB-less cell during cell selection and cell re-selection procedure. 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Observation 1: During cell selection and cell re-selection procedure,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UE shall not select or re-select a SSB-less cell.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Proposal 1: For cell selection or cell re-selection procedure, SSB-less cell is not included for the NES mode definition.</w:t>
      </w:r>
    </w:p>
    <w:p>
      <w:pPr>
        <w:pStyle w:val="28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Based on the following notes for cell DTX/DRX mechanism in NES WID[2], the legacy UE may camp in the cell configured with cell DTX/DRX.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049" w:hanging="329"/>
        <w:jc w:val="both"/>
        <w:textAlignment w:val="auto"/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  <w:t xml:space="preserve">  Note: No change for SSB transmission due to cell DTX/DRX.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049" w:hanging="329"/>
        <w:jc w:val="both"/>
        <w:textAlignment w:val="auto"/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  <w:t xml:space="preserve">  Note: The impact to IDLE/INACTIVE UEs due to the above enhancement should be avoided.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</w:pPr>
    </w:p>
    <w:p>
      <w:pPr>
        <w:pStyle w:val="28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Observation 2: The legacy UE may camp in the cell configured with cell DTX/DRX.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Whether legacy UE can work in the cell configured with cell DTX/DRX depends on the detailed mechanism of cell DTX/DRX, e.g.</w:t>
      </w:r>
      <w:bookmarkStart w:id="10" w:name="_GoBack"/>
      <w:bookmarkEnd w:id="10"/>
    </w:p>
    <w:p>
      <w:pPr>
        <w:pStyle w:val="288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line="300" w:lineRule="auto"/>
        <w:ind w:left="628" w:leftChars="101" w:hanging="416" w:hangingChars="208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cs="Arial"/>
          <w:sz w:val="20"/>
          <w:szCs w:val="20"/>
          <w:lang w:val="en-US" w:eastAsia="zh-CN"/>
        </w:rPr>
        <w:t xml:space="preserve">Whether the HARQ timing will be impacted by the cell DTX/DRX mechanism. </w:t>
      </w:r>
    </w:p>
    <w:p>
      <w:pPr>
        <w:pStyle w:val="288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="628" w:leftChars="101" w:hanging="416" w:hangingChars="208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cs="Arial"/>
          <w:sz w:val="20"/>
          <w:szCs w:val="20"/>
          <w:lang w:val="en-US" w:eastAsia="zh-CN"/>
        </w:rPr>
        <w:t>Whether SR/SPS/CG can be transmitted at the inactive slot when cell DTX/DRX is configured</w:t>
      </w:r>
      <w:r>
        <w:rPr>
          <w:rFonts w:hint="eastAsia" w:ascii="Arial" w:hAnsi="Arial" w:cs="Arial"/>
          <w:sz w:val="20"/>
          <w:szCs w:val="20"/>
          <w:lang w:val="en-US" w:eastAsia="zh-CN"/>
        </w:rPr>
        <w:t>.</w:t>
      </w:r>
    </w:p>
    <w:p>
      <w:pPr>
        <w:pStyle w:val="288"/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="628" w:leftChars="101" w:hanging="416" w:hangingChars="208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cs="Arial"/>
          <w:sz w:val="20"/>
          <w:szCs w:val="20"/>
          <w:lang w:val="en-US" w:eastAsia="zh-CN"/>
        </w:rPr>
        <w:t>Whether CSI-RS and CSI report can be transmitted at the inactive occasion when cell DTX/DRX is configured</w:t>
      </w:r>
      <w:r>
        <w:rPr>
          <w:rFonts w:hint="eastAsia" w:ascii="Arial" w:hAnsi="Arial" w:cs="Arial"/>
          <w:sz w:val="20"/>
          <w:szCs w:val="20"/>
          <w:lang w:val="en-US" w:eastAsia="zh-CN"/>
        </w:rPr>
        <w:t>.</w:t>
      </w:r>
    </w:p>
    <w:p>
      <w:pPr>
        <w:pStyle w:val="28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If the cell DTX/DRX impacts the UE behaviour in RRC_CONNECTED, the legacy UE will not work in cell configured with cell DTX/DRX, and some mechanism will be necessary to prevent legacy UE camping on cells configured with cell DTX/DRX. Otherwise, it is not necessary to prevent legacy UE camping on cells configured with cell DTX/DRX。</w:t>
      </w:r>
    </w:p>
    <w:p>
      <w:pPr>
        <w:pStyle w:val="28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Observation 3: Whether to prevent legacy UE camping on cells configured with cell DTX/DRX depends on whether the legacy UE can work in the cells configured with cell DTX/DRX.</w:t>
      </w:r>
    </w:p>
    <w:p>
      <w:pPr>
        <w:pStyle w:val="28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Proposal 2: Pending the discussion on whether and how to prevent legacy UE camping on cells configured with cell DTX/DRX until the detailed mechanism of cell DTX/DRX has been defined.</w:t>
      </w:r>
    </w:p>
    <w:p>
      <w:pPr>
        <w:pStyle w:val="28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00" w:lineRule="auto"/>
        <w:ind w:leftChars="0"/>
        <w:textAlignment w:val="auto"/>
        <w:rPr>
          <w:rFonts w:hint="default" w:ascii="Arial" w:hAnsi="Arial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 xml:space="preserve">Based on the following notes for objective of techniques in spatial and power domains in NES WID[2], the enhancements on spatial and power domains for NES does not impact the legacy UE behaviour..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049" w:hanging="329"/>
        <w:jc w:val="both"/>
        <w:textAlignment w:val="auto"/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</w:pPr>
      <w:r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  <w:t xml:space="preserve">  Note: Above objectives are only for UE specific channels/signals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00" w:lineRule="auto"/>
        <w:ind w:left="1049" w:hanging="329"/>
        <w:jc w:val="both"/>
        <w:textAlignment w:val="auto"/>
        <w:rPr>
          <w:rFonts w:hint="default" w:ascii="Arial" w:hAnsi="Arial" w:cs="Arial"/>
          <w:bCs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bCs/>
          <w:i/>
          <w:iCs/>
          <w:sz w:val="20"/>
          <w:szCs w:val="20"/>
          <w:lang w:val="en-US" w:eastAsia="zh-CN"/>
        </w:rPr>
        <w:t xml:space="preserve">  Note: </w:t>
      </w:r>
      <w:r>
        <w:rPr>
          <w:rFonts w:hint="default" w:ascii="Arial" w:hAnsi="Arial" w:cs="Arial"/>
          <w:bCs/>
          <w:i/>
          <w:iCs/>
          <w:sz w:val="20"/>
          <w:szCs w:val="20"/>
          <w:highlight w:val="none"/>
          <w:lang w:val="en-US" w:eastAsia="zh-CN"/>
        </w:rPr>
        <w:t>Legacy UE CSI/CSI-RS capabilities applies when considering total number of CSI reports and requirements</w:t>
      </w:r>
    </w:p>
    <w:p>
      <w:pPr>
        <w:pStyle w:val="28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line="300" w:lineRule="auto"/>
        <w:ind w:leftChars="0"/>
        <w:textAlignment w:val="auto"/>
        <w:rPr>
          <w:rFonts w:hint="default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 xml:space="preserve">Observation 4: The enhancements on spatial and power domains for NES will not impact the legacy UE behaviour. </w:t>
      </w:r>
      <w:bookmarkEnd w:id="6"/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</w:pPr>
      <w:bookmarkStart w:id="7" w:name="_Toc18403976"/>
      <w:bookmarkStart w:id="8" w:name="_Toc18404543"/>
      <w:bookmarkStart w:id="9" w:name="_Toc18413612"/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Observation 1: During cell selection </w:t>
      </w:r>
      <w:r>
        <w:rPr>
          <w:rFonts w:hint="eastAsia" w:cs="Arial"/>
          <w:b w:val="0"/>
          <w:bCs w:val="0"/>
          <w:i/>
          <w:iCs/>
          <w:sz w:val="20"/>
          <w:szCs w:val="20"/>
          <w:lang w:val="en-US" w:eastAsia="zh-CN"/>
        </w:rPr>
        <w:t xml:space="preserve">and </w:t>
      </w: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cell re-selection procedure, UE shall not select or re-select a SSB-less cell. </w:t>
      </w: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eastAsia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Proposal 1: </w:t>
      </w:r>
      <w:r>
        <w:rPr>
          <w:rFonts w:hint="eastAsia" w:cs="Arial"/>
          <w:b/>
          <w:bCs/>
          <w:sz w:val="20"/>
          <w:szCs w:val="20"/>
          <w:lang w:val="en-US" w:eastAsia="zh-CN"/>
        </w:rPr>
        <w:t>For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 cell selection or cell re-selection procedure</w:t>
      </w:r>
      <w:r>
        <w:rPr>
          <w:rFonts w:hint="default" w:cs="Arial"/>
          <w:b/>
          <w:bCs/>
          <w:sz w:val="20"/>
          <w:szCs w:val="20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SSB-less</w:t>
      </w:r>
      <w:r>
        <w:rPr>
          <w:rFonts w:hint="eastAsia" w:cs="Arial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cell</w:t>
      </w:r>
      <w:r>
        <w:rPr>
          <w:rFonts w:hint="eastAsia" w:cs="Arial"/>
          <w:b/>
          <w:bCs/>
          <w:sz w:val="20"/>
          <w:szCs w:val="20"/>
          <w:lang w:val="en-US" w:eastAsia="zh-CN"/>
        </w:rPr>
        <w:t xml:space="preserve"> is not included for the NES mode definition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.</w:t>
      </w: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eastAsia" w:ascii="Arial" w:hAnsi="Arial" w:cs="Arial"/>
          <w:b/>
          <w:bCs/>
          <w:sz w:val="20"/>
          <w:szCs w:val="20"/>
          <w:lang w:val="en-US" w:eastAsia="zh-CN"/>
        </w:rPr>
      </w:pP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default" w:cs="Arial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Observation </w:t>
      </w:r>
      <w:r>
        <w:rPr>
          <w:rFonts w:hint="default" w:cs="Arial"/>
          <w:b w:val="0"/>
          <w:bCs w:val="0"/>
          <w:i/>
          <w:iCs/>
          <w:sz w:val="20"/>
          <w:szCs w:val="20"/>
          <w:lang w:val="en-US" w:eastAsia="zh-CN"/>
        </w:rPr>
        <w:t>2</w:t>
      </w: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: </w:t>
      </w:r>
      <w:r>
        <w:rPr>
          <w:rFonts w:hint="default" w:cs="Arial"/>
          <w:b w:val="0"/>
          <w:bCs w:val="0"/>
          <w:i/>
          <w:iCs/>
          <w:sz w:val="20"/>
          <w:szCs w:val="20"/>
          <w:lang w:val="en-US" w:eastAsia="zh-CN"/>
        </w:rPr>
        <w:t xml:space="preserve">The legacy UE </w:t>
      </w:r>
      <w:r>
        <w:rPr>
          <w:rFonts w:hint="eastAsia" w:cs="Arial"/>
          <w:b w:val="0"/>
          <w:bCs w:val="0"/>
          <w:i/>
          <w:iCs/>
          <w:sz w:val="20"/>
          <w:szCs w:val="20"/>
          <w:lang w:val="en-US" w:eastAsia="zh-CN"/>
        </w:rPr>
        <w:t>may</w:t>
      </w:r>
      <w:r>
        <w:rPr>
          <w:rFonts w:hint="default" w:cs="Arial"/>
          <w:b w:val="0"/>
          <w:bCs w:val="0"/>
          <w:i/>
          <w:iCs/>
          <w:sz w:val="20"/>
          <w:szCs w:val="20"/>
          <w:lang w:val="en-US" w:eastAsia="zh-CN"/>
        </w:rPr>
        <w:t xml:space="preserve"> camp in the cell </w:t>
      </w:r>
      <w:r>
        <w:rPr>
          <w:rFonts w:hint="eastAsia" w:cs="Arial"/>
          <w:b w:val="0"/>
          <w:bCs w:val="0"/>
          <w:i/>
          <w:iCs/>
          <w:sz w:val="20"/>
          <w:szCs w:val="20"/>
          <w:lang w:val="en-US" w:eastAsia="zh-CN"/>
        </w:rPr>
        <w:t>configured with cell DTX/DRX</w:t>
      </w:r>
      <w:r>
        <w:rPr>
          <w:rFonts w:hint="default" w:cs="Arial"/>
          <w:b w:val="0"/>
          <w:bCs w:val="0"/>
          <w:i/>
          <w:iCs/>
          <w:sz w:val="20"/>
          <w:szCs w:val="20"/>
          <w:lang w:val="en-US" w:eastAsia="zh-CN"/>
        </w:rPr>
        <w:t>.</w:t>
      </w: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default" w:ascii="Arial" w:hAnsi="Arial" w:eastAsia="宋体" w:cs="Arial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i/>
          <w:iCs/>
          <w:sz w:val="20"/>
          <w:szCs w:val="20"/>
          <w:lang w:val="en-US" w:eastAsia="zh-CN"/>
        </w:rPr>
        <w:t>Observation 3: Whether to prevent legacy UE camping on cells configured with cell DTX/DRX depends on whether the legacy UE can work in the cells configured with cell DTX/DRX</w:t>
      </w:r>
      <w:r>
        <w:rPr>
          <w:rFonts w:hint="default" w:ascii="Arial" w:hAnsi="Arial" w:eastAsia="宋体" w:cs="Arial"/>
          <w:b w:val="0"/>
          <w:bCs w:val="0"/>
          <w:i/>
          <w:iCs/>
          <w:sz w:val="20"/>
          <w:szCs w:val="20"/>
          <w:lang w:val="en-US" w:eastAsia="zh-CN"/>
        </w:rPr>
        <w:t>.</w:t>
      </w: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eastAsia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hint="eastAsia" w:cs="Arial"/>
          <w:b/>
          <w:bCs/>
          <w:sz w:val="20"/>
          <w:szCs w:val="20"/>
          <w:lang w:val="en-US" w:eastAsia="zh-CN"/>
        </w:rPr>
        <w:t>2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: </w:t>
      </w:r>
      <w:r>
        <w:rPr>
          <w:rFonts w:hint="eastAsia" w:cs="Arial"/>
          <w:b/>
          <w:bCs/>
          <w:sz w:val="20"/>
          <w:szCs w:val="20"/>
          <w:lang w:val="en-US" w:eastAsia="zh-CN"/>
        </w:rPr>
        <w:t xml:space="preserve">Pending the discussion on whether and how to prevent legacy UE camping on cells configured with cell DTX/DRX until the detailed mechanism of </w:t>
      </w:r>
      <w:r>
        <w:rPr>
          <w:rFonts w:hint="default" w:cs="Arial"/>
          <w:b/>
          <w:bCs/>
          <w:sz w:val="20"/>
          <w:szCs w:val="20"/>
          <w:lang w:val="en-US" w:eastAsia="zh-CN"/>
        </w:rPr>
        <w:t>cell DTX/DRX</w:t>
      </w:r>
      <w:r>
        <w:rPr>
          <w:rFonts w:hint="eastAsia" w:cs="Arial"/>
          <w:b/>
          <w:bCs/>
          <w:sz w:val="20"/>
          <w:szCs w:val="20"/>
          <w:lang w:val="en-US" w:eastAsia="zh-CN"/>
        </w:rPr>
        <w:t xml:space="preserve"> has been defined.</w:t>
      </w: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eastAsia" w:cs="Arial"/>
          <w:b/>
          <w:bCs/>
          <w:sz w:val="20"/>
          <w:szCs w:val="20"/>
          <w:lang w:val="en-US" w:eastAsia="zh-CN"/>
        </w:rPr>
      </w:pPr>
    </w:p>
    <w:p>
      <w:pPr>
        <w:pStyle w:val="288"/>
        <w:numPr>
          <w:ilvl w:val="0"/>
          <w:numId w:val="0"/>
        </w:numPr>
        <w:spacing w:after="156" w:line="259" w:lineRule="auto"/>
        <w:ind w:leftChars="0"/>
        <w:rPr>
          <w:rFonts w:hint="eastAsia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Observation </w:t>
      </w:r>
      <w:r>
        <w:rPr>
          <w:rFonts w:hint="eastAsia" w:cs="Arial"/>
          <w:b w:val="0"/>
          <w:bCs w:val="0"/>
          <w:i/>
          <w:iCs/>
          <w:sz w:val="20"/>
          <w:szCs w:val="20"/>
          <w:lang w:val="en-US" w:eastAsia="zh-CN"/>
        </w:rPr>
        <w:t>4</w:t>
      </w: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>: T</w:t>
      </w:r>
      <w:r>
        <w:rPr>
          <w:rFonts w:hint="default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he </w:t>
      </w: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enhancements on </w:t>
      </w:r>
      <w:r>
        <w:rPr>
          <w:rFonts w:hint="default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>spatial and power domains</w:t>
      </w: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 for NES </w:t>
      </w:r>
      <w:r>
        <w:rPr>
          <w:rFonts w:hint="eastAsia" w:cs="Arial"/>
          <w:b w:val="0"/>
          <w:bCs w:val="0"/>
          <w:i/>
          <w:iCs/>
          <w:sz w:val="20"/>
          <w:szCs w:val="20"/>
          <w:lang w:val="en-US" w:eastAsia="zh-CN"/>
        </w:rPr>
        <w:t>will</w:t>
      </w:r>
      <w:r>
        <w:rPr>
          <w:rFonts w:hint="eastAsia" w:ascii="Arial" w:hAnsi="Arial" w:cs="Arial"/>
          <w:b w:val="0"/>
          <w:bCs w:val="0"/>
          <w:i/>
          <w:iCs/>
          <w:sz w:val="20"/>
          <w:szCs w:val="20"/>
          <w:lang w:val="en-US" w:eastAsia="zh-CN"/>
        </w:rPr>
        <w:t xml:space="preserve"> not impact the legacy UE behaviour. </w:t>
      </w:r>
    </w:p>
    <w:p>
      <w:pPr>
        <w:pStyle w:val="2"/>
        <w:widowControl/>
        <w:numPr>
          <w:ilvl w:val="0"/>
          <w:numId w:val="5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7"/>
      <w:bookmarkEnd w:id="8"/>
      <w:bookmarkEnd w:id="9"/>
    </w:p>
    <w:p>
      <w:pPr>
        <w:pStyle w:val="53"/>
        <w:numPr>
          <w:ilvl w:val="0"/>
          <w:numId w:val="10"/>
        </w:numPr>
        <w:spacing w:before="75" w:beforeAutospacing="0" w:after="75" w:afterAutospacing="0" w:line="315" w:lineRule="atLeast"/>
        <w:ind w:left="425" w:leftChars="0" w:hanging="425" w:firstLineChars="0"/>
        <w:rPr>
          <w:rFonts w:hint="default" w:eastAsia="宋体" w:cs="Arial"/>
          <w:color w:val="000000"/>
          <w:sz w:val="21"/>
          <w:lang w:val="en-US" w:eastAsia="zh-CN"/>
        </w:rPr>
      </w:pPr>
      <w:r>
        <w:rPr>
          <w:rFonts w:hint="eastAsia" w:cs="Arial"/>
          <w:color w:val="000000"/>
          <w:sz w:val="21"/>
        </w:rPr>
        <w:t>3GPP TR 38.864 V1.0.0 (2022-12)</w:t>
      </w:r>
      <w:r>
        <w:rPr>
          <w:rFonts w:hint="eastAsia" w:eastAsia="宋体" w:cs="Arial"/>
          <w:color w:val="000000"/>
          <w:sz w:val="21"/>
          <w:lang w:val="en-US" w:eastAsia="zh-CN"/>
        </w:rPr>
        <w:t>, Study on network energy savings for NR</w:t>
      </w:r>
    </w:p>
    <w:p>
      <w:pPr>
        <w:pStyle w:val="53"/>
        <w:numPr>
          <w:ilvl w:val="0"/>
          <w:numId w:val="10"/>
        </w:numPr>
        <w:spacing w:before="75" w:beforeAutospacing="0" w:after="75" w:afterAutospacing="0" w:line="315" w:lineRule="atLeast"/>
        <w:ind w:left="425" w:leftChars="0" w:hanging="425" w:firstLineChars="0"/>
        <w:rPr>
          <w:rFonts w:hint="default" w:eastAsia="宋体" w:cs="Arial"/>
          <w:color w:val="000000"/>
          <w:sz w:val="21"/>
          <w:lang w:val="en-US" w:eastAsia="zh-CN"/>
        </w:rPr>
      </w:pPr>
      <w:r>
        <w:rPr>
          <w:rFonts w:hint="default" w:eastAsia="宋体" w:cs="Arial"/>
          <w:color w:val="000000"/>
          <w:sz w:val="21"/>
          <w:lang w:val="en-US" w:eastAsia="zh-CN"/>
        </w:rPr>
        <w:t xml:space="preserve">RP-223540, New WID: Network energy savings for NR </w:t>
      </w:r>
      <w:r>
        <w:rPr>
          <w:rFonts w:hint="eastAsia" w:eastAsia="宋体" w:cs="Arial"/>
          <w:color w:val="000000"/>
          <w:sz w:val="21"/>
          <w:lang w:val="en-US" w:eastAsia="zh-CN"/>
        </w:rPr>
        <w:t xml:space="preserve">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0"/>
      </w:rPr>
    </w:pPr>
    <w:r>
      <w:rPr>
        <w:rStyle w:val="60"/>
      </w:rPr>
      <w:fldChar w:fldCharType="begin"/>
    </w:r>
    <w:r>
      <w:rPr>
        <w:rStyle w:val="60"/>
      </w:rPr>
      <w:instrText xml:space="preserve">PAGE  </w:instrText>
    </w:r>
    <w:r>
      <w:rPr>
        <w:rStyle w:val="60"/>
      </w:rPr>
      <w:fldChar w:fldCharType="end"/>
    </w:r>
  </w:p>
  <w:p>
    <w:pPr>
      <w:pStyle w:val="3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0EC5E2"/>
    <w:multiLevelType w:val="singleLevel"/>
    <w:tmpl w:val="D10EC5E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6CE0E4D"/>
    <w:multiLevelType w:val="multilevel"/>
    <w:tmpl w:val="D6CE0E4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2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5FE636B"/>
    <w:multiLevelType w:val="singleLevel"/>
    <w:tmpl w:val="15FE636B"/>
    <w:lvl w:ilvl="0" w:tentative="0">
      <w:start w:val="1"/>
      <w:numFmt w:val="decimal"/>
      <w:suff w:val="space"/>
      <w:lvlText w:val="(%1)"/>
      <w:lvlJc w:val="left"/>
      <w:pPr>
        <w:ind w:left="-420"/>
      </w:pPr>
    </w:lvl>
  </w:abstractNum>
  <w:abstractNum w:abstractNumId="5">
    <w:nsid w:val="2DA70D6B"/>
    <w:multiLevelType w:val="multilevel"/>
    <w:tmpl w:val="2DA70D6B"/>
    <w:lvl w:ilvl="0" w:tentative="0">
      <w:start w:val="1"/>
      <w:numFmt w:val="decimal"/>
      <w:pStyle w:val="281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5807BB"/>
    <w:multiLevelType w:val="multilevel"/>
    <w:tmpl w:val="2F5807BB"/>
    <w:lvl w:ilvl="0" w:tentative="0">
      <w:start w:val="1"/>
      <w:numFmt w:val="decimal"/>
      <w:pStyle w:val="282"/>
      <w:lvlText w:val="Observation %1: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055EC99"/>
    <w:multiLevelType w:val="singleLevel"/>
    <w:tmpl w:val="6055EC99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abstractNum w:abstractNumId="9">
    <w:nsid w:val="6D0F203A"/>
    <w:multiLevelType w:val="multilevel"/>
    <w:tmpl w:val="6D0F203A"/>
    <w:lvl w:ilvl="0" w:tentative="0">
      <w:start w:val="1"/>
      <w:numFmt w:val="bullet"/>
      <w:lvlText w:val=""/>
      <w:lvlJc w:val="left"/>
      <w:pPr>
        <w:ind w:left="1051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1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91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11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31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1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71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91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11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true"/>
  <w:bordersDoNotSurroundHeader w:val="false"/>
  <w:bordersDoNotSurroundFooter w:val="false"/>
  <w:documentProtection w:enforcement="0"/>
  <w:defaultTabStop w:val="420"/>
  <w:hyphenationZone w:val="425"/>
  <w:displayHorizontalDrawingGridEvery w:val="1"/>
  <w:displayVerticalDrawingGridEvery w:val="1"/>
  <w:noPunctuationKerning w:val="true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993"/>
    <w:rsid w:val="000E1EF3"/>
    <w:rsid w:val="000E2601"/>
    <w:rsid w:val="000E38C6"/>
    <w:rsid w:val="000E3B8A"/>
    <w:rsid w:val="000E6C7B"/>
    <w:rsid w:val="000F0A49"/>
    <w:rsid w:val="000F0A7B"/>
    <w:rsid w:val="000F0AC3"/>
    <w:rsid w:val="000F2AE2"/>
    <w:rsid w:val="000F4CFF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1E43"/>
    <w:rsid w:val="00145AFF"/>
    <w:rsid w:val="00145B62"/>
    <w:rsid w:val="00147740"/>
    <w:rsid w:val="00150BAB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61E6"/>
    <w:rsid w:val="00296A7E"/>
    <w:rsid w:val="00297A88"/>
    <w:rsid w:val="002A15B3"/>
    <w:rsid w:val="002A3038"/>
    <w:rsid w:val="002A6D0A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687"/>
    <w:rsid w:val="004A402F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50236"/>
    <w:rsid w:val="006503F8"/>
    <w:rsid w:val="00650D0F"/>
    <w:rsid w:val="00651856"/>
    <w:rsid w:val="006521E7"/>
    <w:rsid w:val="0065579F"/>
    <w:rsid w:val="0065726E"/>
    <w:rsid w:val="006608AE"/>
    <w:rsid w:val="006674E5"/>
    <w:rsid w:val="00670351"/>
    <w:rsid w:val="006704F9"/>
    <w:rsid w:val="006706AA"/>
    <w:rsid w:val="006718B7"/>
    <w:rsid w:val="00673154"/>
    <w:rsid w:val="006746B2"/>
    <w:rsid w:val="0067540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42B"/>
    <w:rsid w:val="00823AF8"/>
    <w:rsid w:val="008267CB"/>
    <w:rsid w:val="00827512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617"/>
    <w:rsid w:val="008E2288"/>
    <w:rsid w:val="008E314C"/>
    <w:rsid w:val="008E41AE"/>
    <w:rsid w:val="008E485D"/>
    <w:rsid w:val="008E5B71"/>
    <w:rsid w:val="008E705E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ABB"/>
    <w:rsid w:val="00D85273"/>
    <w:rsid w:val="00D85521"/>
    <w:rsid w:val="00D87AA7"/>
    <w:rsid w:val="00D90425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F012FF"/>
    <w:rsid w:val="00F01A21"/>
    <w:rsid w:val="00F02D4E"/>
    <w:rsid w:val="00F046E9"/>
    <w:rsid w:val="00F04831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C97F9D"/>
    <w:rsid w:val="02355118"/>
    <w:rsid w:val="0276200A"/>
    <w:rsid w:val="02795D1B"/>
    <w:rsid w:val="048848D9"/>
    <w:rsid w:val="051B2E48"/>
    <w:rsid w:val="066F03DC"/>
    <w:rsid w:val="087D49D7"/>
    <w:rsid w:val="098B1EF5"/>
    <w:rsid w:val="09F00BD8"/>
    <w:rsid w:val="0B2C0FB7"/>
    <w:rsid w:val="0C527599"/>
    <w:rsid w:val="0CBA1583"/>
    <w:rsid w:val="0D47430F"/>
    <w:rsid w:val="0E6F0740"/>
    <w:rsid w:val="0EE5238C"/>
    <w:rsid w:val="0F321E2D"/>
    <w:rsid w:val="0FD7E53B"/>
    <w:rsid w:val="100A5158"/>
    <w:rsid w:val="10A8633C"/>
    <w:rsid w:val="10DF3115"/>
    <w:rsid w:val="131C76E1"/>
    <w:rsid w:val="14C82A56"/>
    <w:rsid w:val="1501485D"/>
    <w:rsid w:val="15CB0EC4"/>
    <w:rsid w:val="18AA4C8C"/>
    <w:rsid w:val="1A9B1F53"/>
    <w:rsid w:val="1B3D4012"/>
    <w:rsid w:val="1B481AFB"/>
    <w:rsid w:val="1D235F66"/>
    <w:rsid w:val="1D330706"/>
    <w:rsid w:val="1D665A9E"/>
    <w:rsid w:val="1D8D3AB3"/>
    <w:rsid w:val="1E1A0D3A"/>
    <w:rsid w:val="1E21472F"/>
    <w:rsid w:val="1E64724C"/>
    <w:rsid w:val="1EB2633F"/>
    <w:rsid w:val="1F153019"/>
    <w:rsid w:val="1F51614F"/>
    <w:rsid w:val="20705710"/>
    <w:rsid w:val="211E529B"/>
    <w:rsid w:val="232660FF"/>
    <w:rsid w:val="248512BD"/>
    <w:rsid w:val="25A05924"/>
    <w:rsid w:val="2744098B"/>
    <w:rsid w:val="29D70DFD"/>
    <w:rsid w:val="2A4A4D64"/>
    <w:rsid w:val="2AA14025"/>
    <w:rsid w:val="2AA823D6"/>
    <w:rsid w:val="2ACE5C9E"/>
    <w:rsid w:val="2B2348E2"/>
    <w:rsid w:val="2C7F2EA6"/>
    <w:rsid w:val="2D1E05D5"/>
    <w:rsid w:val="3003631E"/>
    <w:rsid w:val="3078124A"/>
    <w:rsid w:val="3090209F"/>
    <w:rsid w:val="31DE1118"/>
    <w:rsid w:val="32C850C3"/>
    <w:rsid w:val="32D900A8"/>
    <w:rsid w:val="33FA6F1F"/>
    <w:rsid w:val="38FA0996"/>
    <w:rsid w:val="39193DDA"/>
    <w:rsid w:val="396E02FE"/>
    <w:rsid w:val="39CB0595"/>
    <w:rsid w:val="39DF59A6"/>
    <w:rsid w:val="3A4A7EAF"/>
    <w:rsid w:val="3AA26C9B"/>
    <w:rsid w:val="3ADC5E36"/>
    <w:rsid w:val="3BBA2662"/>
    <w:rsid w:val="3C3F7E0E"/>
    <w:rsid w:val="3E7A082F"/>
    <w:rsid w:val="3FAF1333"/>
    <w:rsid w:val="42680181"/>
    <w:rsid w:val="437906BF"/>
    <w:rsid w:val="44C70D28"/>
    <w:rsid w:val="452560E2"/>
    <w:rsid w:val="454E006C"/>
    <w:rsid w:val="459F66FE"/>
    <w:rsid w:val="4625557D"/>
    <w:rsid w:val="465173C0"/>
    <w:rsid w:val="47727391"/>
    <w:rsid w:val="48350D83"/>
    <w:rsid w:val="49613924"/>
    <w:rsid w:val="498254A8"/>
    <w:rsid w:val="49DD7C63"/>
    <w:rsid w:val="4B3040AF"/>
    <w:rsid w:val="4C081A35"/>
    <w:rsid w:val="4CF24C8C"/>
    <w:rsid w:val="4D786103"/>
    <w:rsid w:val="4F2F25EA"/>
    <w:rsid w:val="50F36CD9"/>
    <w:rsid w:val="51D345F6"/>
    <w:rsid w:val="53AB764B"/>
    <w:rsid w:val="55372702"/>
    <w:rsid w:val="55E15918"/>
    <w:rsid w:val="56830F29"/>
    <w:rsid w:val="56BF0EA2"/>
    <w:rsid w:val="56C1402D"/>
    <w:rsid w:val="56CE15F2"/>
    <w:rsid w:val="57A329FE"/>
    <w:rsid w:val="57FFA5B5"/>
    <w:rsid w:val="59414843"/>
    <w:rsid w:val="59996800"/>
    <w:rsid w:val="5B2C56F7"/>
    <w:rsid w:val="5BDF3319"/>
    <w:rsid w:val="5BF41DCB"/>
    <w:rsid w:val="5BFF3149"/>
    <w:rsid w:val="5D93468D"/>
    <w:rsid w:val="5EA87B0A"/>
    <w:rsid w:val="5EB119EE"/>
    <w:rsid w:val="5F8828F6"/>
    <w:rsid w:val="5FEF66B4"/>
    <w:rsid w:val="60983A67"/>
    <w:rsid w:val="626E2D07"/>
    <w:rsid w:val="62B8321C"/>
    <w:rsid w:val="62C94616"/>
    <w:rsid w:val="63766DF5"/>
    <w:rsid w:val="63A965A7"/>
    <w:rsid w:val="63E41E32"/>
    <w:rsid w:val="66E97154"/>
    <w:rsid w:val="66F9171A"/>
    <w:rsid w:val="6761194F"/>
    <w:rsid w:val="67A01566"/>
    <w:rsid w:val="67A84465"/>
    <w:rsid w:val="6895718D"/>
    <w:rsid w:val="68BC6ECC"/>
    <w:rsid w:val="69797C2C"/>
    <w:rsid w:val="6B941087"/>
    <w:rsid w:val="6BDD591A"/>
    <w:rsid w:val="6BF7AAB6"/>
    <w:rsid w:val="6CE644C3"/>
    <w:rsid w:val="6D1112AB"/>
    <w:rsid w:val="6D735E56"/>
    <w:rsid w:val="6D935AB0"/>
    <w:rsid w:val="6E087119"/>
    <w:rsid w:val="6F185339"/>
    <w:rsid w:val="6F7DE2EF"/>
    <w:rsid w:val="70D03D2D"/>
    <w:rsid w:val="71173046"/>
    <w:rsid w:val="72666CF3"/>
    <w:rsid w:val="72E9489F"/>
    <w:rsid w:val="73E1565D"/>
    <w:rsid w:val="75544B2F"/>
    <w:rsid w:val="760A43BF"/>
    <w:rsid w:val="772D2B8C"/>
    <w:rsid w:val="783E4597"/>
    <w:rsid w:val="78EE332F"/>
    <w:rsid w:val="7A265E0F"/>
    <w:rsid w:val="7B82113C"/>
    <w:rsid w:val="7BE208A5"/>
    <w:rsid w:val="7D2A73BF"/>
    <w:rsid w:val="7D87285F"/>
    <w:rsid w:val="7DDB64D4"/>
    <w:rsid w:val="7E5940F2"/>
    <w:rsid w:val="7EB413E4"/>
    <w:rsid w:val="7EF4F102"/>
    <w:rsid w:val="7EFBB885"/>
    <w:rsid w:val="7FDD7663"/>
    <w:rsid w:val="8EB7D2D2"/>
    <w:rsid w:val="9C77CB3D"/>
    <w:rsid w:val="9CFCE2DE"/>
    <w:rsid w:val="A7F32C5E"/>
    <w:rsid w:val="B9733BF5"/>
    <w:rsid w:val="BFA4BFBC"/>
    <w:rsid w:val="D55E5CB0"/>
    <w:rsid w:val="F69D56AB"/>
    <w:rsid w:val="FFBA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GB" w:eastAsia="en-GB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4">
    <w:name w:val="heading 3"/>
    <w:basedOn w:val="1"/>
    <w:next w:val="1"/>
    <w:link w:val="71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72"/>
    <w:qFormat/>
    <w:uiPriority w:val="0"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b/>
      <w:sz w:val="28"/>
    </w:rPr>
  </w:style>
  <w:style w:type="paragraph" w:styleId="6">
    <w:name w:val="heading 5"/>
    <w:basedOn w:val="1"/>
    <w:next w:val="1"/>
    <w:link w:val="73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89"/>
    <w:qFormat/>
    <w:uiPriority w:val="0"/>
    <w:pPr>
      <w:spacing w:before="152"/>
    </w:pPr>
    <w:rPr>
      <w:rFonts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5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7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</w:rPr>
  </w:style>
  <w:style w:type="paragraph" w:styleId="30">
    <w:name w:val="toc 3"/>
    <w:basedOn w:val="1"/>
    <w:next w:val="1"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/>
    </w:rPr>
  </w:style>
  <w:style w:type="paragraph" w:styleId="31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2"/>
    <w:qFormat/>
    <w:uiPriority w:val="0"/>
    <w:pPr>
      <w:snapToGrid w:val="0"/>
      <w:jc w:val="left"/>
    </w:pPr>
  </w:style>
  <w:style w:type="paragraph" w:styleId="36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</w:rPr>
  </w:style>
  <w:style w:type="paragraph" w:customStyle="1" w:styleId="43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styleId="44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4"/>
    <w:next w:val="24"/>
    <w:link w:val="91"/>
    <w:semiHidden/>
    <w:qFormat/>
    <w:uiPriority w:val="0"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57">
    <w:name w:val="Table Grid"/>
    <w:basedOn w:val="56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9">
    <w:name w:val="endnote reference"/>
    <w:basedOn w:val="58"/>
    <w:qFormat/>
    <w:uiPriority w:val="0"/>
    <w:rPr>
      <w:vertAlign w:val="superscript"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4">
    <w:name w:val="annotation reference"/>
    <w:qFormat/>
    <w:uiPriority w:val="0"/>
    <w:rPr>
      <w:sz w:val="16"/>
    </w:rPr>
  </w:style>
  <w:style w:type="character" w:styleId="65">
    <w:name w:val="footnote reference"/>
    <w:basedOn w:val="58"/>
    <w:qFormat/>
    <w:uiPriority w:val="0"/>
    <w:rPr>
      <w:vertAlign w:val="superscript"/>
    </w:rPr>
  </w:style>
  <w:style w:type="character" w:customStyle="1" w:styleId="66">
    <w:name w:val="Balloon Text Char"/>
    <w:basedOn w:val="58"/>
    <w:link w:val="36"/>
    <w:qFormat/>
    <w:uiPriority w:val="0"/>
    <w:rPr>
      <w:kern w:val="2"/>
      <w:sz w:val="18"/>
      <w:szCs w:val="18"/>
    </w:rPr>
  </w:style>
  <w:style w:type="paragraph" w:styleId="67">
    <w:name w:val="List Paragraph"/>
    <w:basedOn w:val="1"/>
    <w:link w:val="272"/>
    <w:unhideWhenUsed/>
    <w:qFormat/>
    <w:uiPriority w:val="34"/>
    <w:pPr>
      <w:ind w:firstLine="420" w:firstLineChars="200"/>
    </w:pPr>
  </w:style>
  <w:style w:type="character" w:customStyle="1" w:styleId="68">
    <w:name w:val="Document Map Char"/>
    <w:basedOn w:val="58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0">
    <w:name w:val="Heading 2 Char"/>
    <w:basedOn w:val="58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5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7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8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7"/>
    <w:qFormat/>
    <w:uiPriority w:val="99"/>
    <w:rPr>
      <w:kern w:val="2"/>
      <w:sz w:val="18"/>
      <w:szCs w:val="18"/>
    </w:rPr>
  </w:style>
  <w:style w:type="character" w:styleId="113">
    <w:name w:val="Placeholder Text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3"/>
    <w:next w:val="43"/>
    <w:link w:val="114"/>
    <w:qFormat/>
    <w:uiPriority w:val="0"/>
  </w:style>
  <w:style w:type="character" w:customStyle="1" w:styleId="116">
    <w:name w:val="Plain Text Char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8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3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8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129">
    <w:name w:val="Header Char"/>
    <w:link w:val="38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8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kern w:val="2"/>
      <w:sz w:val="21"/>
      <w:szCs w:val="21"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Arial" w:cs="Times New Roman" w:eastAsiaTheme="minorEastAsia"/>
      <w:b/>
      <w:spacing w:val="20"/>
      <w:w w:val="135"/>
      <w:kern w:val="2"/>
      <w:sz w:val="28"/>
      <w:szCs w:val="21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42">
    <w:name w:val="三级条标题"/>
    <w:basedOn w:val="143"/>
    <w:next w:val="43"/>
    <w:qFormat/>
    <w:uiPriority w:val="0"/>
    <w:pPr>
      <w:outlineLvl w:val="4"/>
    </w:pPr>
  </w:style>
  <w:style w:type="paragraph" w:customStyle="1" w:styleId="143">
    <w:name w:val="二级条标题"/>
    <w:basedOn w:val="144"/>
    <w:next w:val="43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146">
    <w:name w:val="附录一级条标题"/>
    <w:basedOn w:val="147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Arial" w:eastAsia="黑体" w:cs="Times New Roman"/>
      <w:kern w:val="21"/>
      <w:sz w:val="21"/>
      <w:szCs w:val="21"/>
      <w:lang w:val="en-US" w:eastAsia="zh-CN" w:bidi="ar-SA"/>
    </w:rPr>
  </w:style>
  <w:style w:type="paragraph" w:customStyle="1" w:styleId="148">
    <w:name w:val="四级条标题"/>
    <w:basedOn w:val="142"/>
    <w:next w:val="43"/>
    <w:qFormat/>
    <w:uiPriority w:val="0"/>
    <w:pPr>
      <w:outlineLvl w:val="5"/>
    </w:pPr>
  </w:style>
  <w:style w:type="character" w:customStyle="1" w:styleId="149">
    <w:name w:val="Footnote Text Char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1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153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Arial" w:hAnsi="Arial" w:eastAsia="黑体" w:cs="Times New Roman"/>
      <w:kern w:val="2"/>
      <w:sz w:val="28"/>
      <w:szCs w:val="21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Arial" w:eastAsia="黑体" w:cs="Times New Roman"/>
      <w:kern w:val="2"/>
      <w:sz w:val="52"/>
      <w:szCs w:val="21"/>
      <w:lang w:val="en-US" w:eastAsia="zh-CN" w:bidi="ar-SA"/>
    </w:rPr>
  </w:style>
  <w:style w:type="paragraph" w:customStyle="1" w:styleId="173">
    <w:name w:val="五级条标题"/>
    <w:basedOn w:val="148"/>
    <w:next w:val="43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character" w:customStyle="1" w:styleId="175">
    <w:name w:val="Comment Text Char"/>
    <w:basedOn w:val="58"/>
    <w:link w:val="24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Arial" w:eastAsia="黑体" w:cs="Times New Roman"/>
      <w:kern w:val="2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81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4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Arial" w:hAnsi="Arial" w:cs="Times New Roman" w:eastAsiaTheme="minorEastAsia"/>
      <w:b/>
      <w:w w:val="170"/>
      <w:kern w:val="2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kern w:val="2"/>
      <w:sz w:val="32"/>
      <w:szCs w:val="21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Arial" w:cs="Times New Roman" w:eastAsiaTheme="minorEastAsia"/>
      <w:kern w:val="2"/>
      <w:sz w:val="18"/>
      <w:szCs w:val="21"/>
      <w:lang w:val="en-US" w:eastAsia="zh-CN" w:bidi="ar-SA"/>
    </w:rPr>
  </w:style>
  <w:style w:type="character" w:customStyle="1" w:styleId="192">
    <w:name w:val="Endnote Text Char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kern w:val="2"/>
      <w:sz w:val="21"/>
      <w:szCs w:val="21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95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kern w:val="2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200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205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sz w:val="21"/>
      <w:szCs w:val="21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6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7"/>
    <w:link w:val="274"/>
    <w:qFormat/>
    <w:uiPriority w:val="0"/>
  </w:style>
  <w:style w:type="paragraph" w:customStyle="1" w:styleId="217">
    <w:name w:val="NO"/>
    <w:basedOn w:val="1"/>
    <w:link w:val="27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222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Arial" w:cs="Times New Roman" w:eastAsiaTheme="minorEastAsia"/>
      <w:b/>
      <w:bCs/>
      <w:spacing w:val="20"/>
      <w:w w:val="148"/>
      <w:kern w:val="2"/>
      <w:sz w:val="48"/>
      <w:szCs w:val="21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kern w:val="2"/>
      <w:sz w:val="16"/>
      <w:szCs w:val="21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40"/>
      <w:szCs w:val="21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Arial" w:eastAsia="黑体" w:cs="Times New Roman"/>
      <w:kern w:val="2"/>
      <w:sz w:val="32"/>
      <w:szCs w:val="21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kern w:val="2"/>
      <w:sz w:val="21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62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sz w:val="21"/>
      <w:szCs w:val="21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kern w:val="2"/>
      <w:sz w:val="34"/>
      <w:szCs w:val="21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hAnsi="Arial" w:cs="Times New Roman" w:eastAsiaTheme="minorEastAsia"/>
      <w:kern w:val="2"/>
      <w:sz w:val="28"/>
      <w:szCs w:val="21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8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link w:val="278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character" w:customStyle="1" w:styleId="277">
    <w:name w:val="NO Zchn"/>
    <w:link w:val="217"/>
    <w:qFormat/>
    <w:uiPriority w:val="0"/>
    <w:rPr>
      <w:lang w:val="en-GB" w:eastAsia="ja-JP"/>
    </w:rPr>
  </w:style>
  <w:style w:type="character" w:customStyle="1" w:styleId="278">
    <w:name w:val="Guidance Char"/>
    <w:link w:val="275"/>
    <w:qFormat/>
    <w:uiPriority w:val="0"/>
    <w:rPr>
      <w:i/>
      <w:color w:val="0000FF"/>
      <w:lang w:val="en-GB" w:eastAsia="en-US"/>
    </w:rPr>
  </w:style>
  <w:style w:type="character" w:customStyle="1" w:styleId="279">
    <w:name w:val="apple-converted-space"/>
    <w:basedOn w:val="58"/>
    <w:qFormat/>
    <w:uiPriority w:val="0"/>
  </w:style>
  <w:style w:type="paragraph" w:customStyle="1" w:styleId="280">
    <w:name w:val="TOC Heading1"/>
    <w:basedOn w:val="2"/>
    <w:next w:val="1"/>
    <w:unhideWhenUsed/>
    <w:qFormat/>
    <w:uiPriority w:val="39"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EFC600" w:themeColor="accent1" w:themeShade="BF"/>
      <w:kern w:val="0"/>
      <w:sz w:val="32"/>
      <w:szCs w:val="32"/>
      <w:lang w:eastAsia="en-US"/>
    </w:rPr>
  </w:style>
  <w:style w:type="paragraph" w:customStyle="1" w:styleId="281">
    <w:name w:val="3GPPProposal"/>
    <w:basedOn w:val="67"/>
    <w:link w:val="283"/>
    <w:qFormat/>
    <w:uiPriority w:val="0"/>
    <w:pPr>
      <w:numPr>
        <w:ilvl w:val="0"/>
        <w:numId w:val="3"/>
      </w:numPr>
      <w:ind w:firstLine="0" w:firstLineChars="0"/>
    </w:pPr>
    <w:rPr>
      <w:rFonts w:cs="Arial"/>
      <w:color w:val="000000"/>
    </w:rPr>
  </w:style>
  <w:style w:type="paragraph" w:customStyle="1" w:styleId="282">
    <w:name w:val="3GPPObservation"/>
    <w:basedOn w:val="67"/>
    <w:link w:val="284"/>
    <w:qFormat/>
    <w:uiPriority w:val="0"/>
    <w:pPr>
      <w:numPr>
        <w:ilvl w:val="0"/>
        <w:numId w:val="4"/>
      </w:numPr>
      <w:ind w:firstLine="0" w:firstLineChars="0"/>
    </w:pPr>
    <w:rPr>
      <w:rFonts w:cs="Arial"/>
      <w:color w:val="000000"/>
    </w:rPr>
  </w:style>
  <w:style w:type="character" w:customStyle="1" w:styleId="283">
    <w:name w:val="3GPPProposal Char"/>
    <w:basedOn w:val="272"/>
    <w:link w:val="281"/>
    <w:qFormat/>
    <w:uiPriority w:val="0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284">
    <w:name w:val="3GPPObservation Char"/>
    <w:basedOn w:val="272"/>
    <w:link w:val="282"/>
    <w:qFormat/>
    <w:uiPriority w:val="0"/>
    <w:rPr>
      <w:rFonts w:cs="Arial"/>
      <w:color w:val="000000"/>
      <w:kern w:val="2"/>
      <w:sz w:val="21"/>
      <w:szCs w:val="24"/>
    </w:rPr>
  </w:style>
  <w:style w:type="character" w:customStyle="1" w:styleId="285">
    <w:name w:val="Unresolved Mention1"/>
    <w:basedOn w:val="5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86">
    <w:name w:val="Revision2"/>
    <w:hidden/>
    <w:semiHidden/>
    <w:qFormat/>
    <w:uiPriority w:val="99"/>
    <w:pPr>
      <w:spacing w:after="0" w:line="240" w:lineRule="auto"/>
    </w:pPr>
    <w:rPr>
      <w:rFonts w:ascii="Arial" w:hAnsi="Arial" w:cs="Times New Roman" w:eastAsiaTheme="minorEastAsia"/>
      <w:kern w:val="2"/>
      <w:sz w:val="21"/>
      <w:szCs w:val="21"/>
      <w:lang w:val="en-GB" w:eastAsia="en-GB" w:bidi="ar-SA"/>
    </w:rPr>
  </w:style>
  <w:style w:type="paragraph" w:customStyle="1" w:styleId="287">
    <w:name w:val="Revision"/>
    <w:hidden/>
    <w:semiHidden/>
    <w:qFormat/>
    <w:uiPriority w:val="99"/>
    <w:pPr>
      <w:spacing w:after="0" w:line="240" w:lineRule="auto"/>
    </w:pPr>
    <w:rPr>
      <w:rFonts w:ascii="Arial" w:hAnsi="Arial" w:cs="Times New Roman" w:eastAsiaTheme="minorEastAsia"/>
      <w:kern w:val="2"/>
      <w:sz w:val="21"/>
      <w:szCs w:val="21"/>
      <w:lang w:val="en-GB" w:eastAsia="en-GB" w:bidi="ar-SA"/>
    </w:rPr>
  </w:style>
  <w:style w:type="paragraph" w:customStyle="1" w:styleId="288">
    <w:name w:val="List Paragraph2"/>
    <w:basedOn w:val="1"/>
    <w:qFormat/>
    <w:uiPriority w:val="0"/>
    <w:pPr>
      <w:widowControl/>
      <w:spacing w:after="0" w:afterLines="50" w:line="240" w:lineRule="auto"/>
      <w:ind w:left="720"/>
      <w:contextualSpacing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393</Words>
  <Characters>2245</Characters>
  <Lines>18</Lines>
  <Paragraphs>5</Paragraphs>
  <TotalTime>1</TotalTime>
  <ScaleCrop>false</ScaleCrop>
  <LinksUpToDate>false</LinksUpToDate>
  <CharactersWithSpaces>2633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2022-09-22T23:05:00Z</dcterms:created>
  <dc:creator>10033860</dc:creator>
  <cp:lastModifiedBy>ZTE</cp:lastModifiedBy>
  <cp:lastPrinted>2113-01-01T08:00:00Z</cp:lastPrinted>
  <dcterms:modified xsi:type="dcterms:W3CDTF">2023-02-17T15:41:24Z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A1F1A23F08FE4FE4B5B92796963DDD23</vt:lpwstr>
  </property>
</Properties>
</file>